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8A14E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第二章 化学反应速率与化学平衡 </w:t>
      </w:r>
    </w:p>
    <w:p w14:paraId="4930FC16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第四节 </w:t>
      </w:r>
      <w:r>
        <w:rPr>
          <w:rFonts w:ascii="Times New Roman" w:hAnsi="Times New Roman" w:eastAsia="宋体" w:cs="Times New Roman"/>
          <w:b/>
          <w:bCs/>
          <w:sz w:val="22"/>
          <w:lang w:val="zh-CN"/>
        </w:rPr>
        <w:t>化学反应的调控</w:t>
      </w:r>
    </w:p>
    <w:p w14:paraId="7743AE28">
      <w:pPr>
        <w:spacing w:line="420" w:lineRule="exact"/>
        <w:rPr>
          <w:rFonts w:ascii="Times New Roman" w:hAnsi="Times New Roman" w:eastAsia="宋体" w:cs="Times New Roman"/>
          <w:b/>
          <w:bCs/>
          <w:color w:val="91ACE0"/>
          <w:sz w:val="22"/>
          <w:u w:val="thick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7A7D3062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1.合成氨反应的原理分析</w:t>
      </w:r>
    </w:p>
    <w:p w14:paraId="2FB6298C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工业合成氨是人类科学技术的一项重大突破,其反应如下:N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002" name="图片 1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" name="图片 100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=-92.4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</w:p>
    <w:p w14:paraId="7A64A2C4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根据合成氨反应的特点,应如何选择反应条件,以增大合成氨的反应速率、提高平衡混合物中氨的含量?填入下表。</w:t>
      </w:r>
    </w:p>
    <w:tbl>
      <w:tblPr>
        <w:tblStyle w:val="15"/>
        <w:tblW w:w="4699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6"/>
        <w:gridCol w:w="1315"/>
        <w:gridCol w:w="1315"/>
        <w:gridCol w:w="1315"/>
        <w:gridCol w:w="1321"/>
      </w:tblGrid>
      <w:tr w14:paraId="6C89D60D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3" w:type="pct"/>
            <w:vMerge w:val="restart"/>
            <w:tcMar>
              <w:left w:w="90" w:type="dxa"/>
              <w:right w:w="90" w:type="dxa"/>
            </w:tcMar>
            <w:vAlign w:val="center"/>
          </w:tcPr>
          <w:p w14:paraId="01C54147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对合成氨反应的影响</w:t>
            </w:r>
          </w:p>
        </w:tc>
        <w:tc>
          <w:tcPr>
            <w:tcW w:w="3336" w:type="pct"/>
            <w:gridSpan w:val="4"/>
            <w:tcMar>
              <w:left w:w="0" w:type="dxa"/>
              <w:right w:w="0" w:type="dxa"/>
            </w:tcMar>
            <w:vAlign w:val="center"/>
          </w:tcPr>
          <w:p w14:paraId="0765EEE1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影响因素</w:t>
            </w:r>
          </w:p>
        </w:tc>
      </w:tr>
      <w:tr w14:paraId="166D01B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3" w:type="pct"/>
            <w:vMerge w:val="continue"/>
            <w:tcMar>
              <w:left w:w="90" w:type="dxa"/>
              <w:right w:w="90" w:type="dxa"/>
            </w:tcMar>
            <w:vAlign w:val="center"/>
          </w:tcPr>
          <w:p w14:paraId="7EE596E9">
            <w:pPr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48DB76C9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浓度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2668C687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温度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1C94E3CA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压强</w:t>
            </w:r>
          </w:p>
        </w:tc>
        <w:tc>
          <w:tcPr>
            <w:tcW w:w="834" w:type="pct"/>
            <w:tcMar>
              <w:left w:w="0" w:type="dxa"/>
              <w:right w:w="0" w:type="dxa"/>
            </w:tcMar>
            <w:vAlign w:val="center"/>
          </w:tcPr>
          <w:p w14:paraId="16F37F72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催化剂</w:t>
            </w:r>
          </w:p>
        </w:tc>
      </w:tr>
      <w:tr w14:paraId="0229BE76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3" w:type="pct"/>
            <w:tcMar>
              <w:left w:w="90" w:type="dxa"/>
              <w:right w:w="90" w:type="dxa"/>
            </w:tcMar>
            <w:vAlign w:val="center"/>
          </w:tcPr>
          <w:p w14:paraId="6EE6D5DD">
            <w:pPr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增大合成氨的反应速率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28A77513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增大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3B43220F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升高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197E7038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增大</w:t>
            </w:r>
          </w:p>
        </w:tc>
        <w:tc>
          <w:tcPr>
            <w:tcW w:w="834" w:type="pct"/>
            <w:tcMar>
              <w:left w:w="0" w:type="dxa"/>
              <w:right w:w="0" w:type="dxa"/>
            </w:tcMar>
            <w:vAlign w:val="center"/>
          </w:tcPr>
          <w:p w14:paraId="22A3D4DC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使用</w:t>
            </w:r>
          </w:p>
        </w:tc>
      </w:tr>
      <w:tr w14:paraId="40351681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3" w:type="pct"/>
            <w:tcMar>
              <w:left w:w="90" w:type="dxa"/>
              <w:right w:w="90" w:type="dxa"/>
            </w:tcMar>
            <w:vAlign w:val="center"/>
          </w:tcPr>
          <w:p w14:paraId="167C73BC">
            <w:pPr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提高平衡混合物中氨的含量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3F70B5FC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提高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62026859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降低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116A1C71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提高</w:t>
            </w:r>
          </w:p>
        </w:tc>
        <w:tc>
          <w:tcPr>
            <w:tcW w:w="834" w:type="pct"/>
            <w:tcMar>
              <w:left w:w="0" w:type="dxa"/>
              <w:right w:w="0" w:type="dxa"/>
            </w:tcMar>
            <w:vAlign w:val="center"/>
          </w:tcPr>
          <w:p w14:paraId="2ED1C31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不变</w:t>
            </w:r>
          </w:p>
        </w:tc>
      </w:tr>
    </w:tbl>
    <w:p w14:paraId="4FAD1699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.合成氨反应的条件调控</w:t>
      </w:r>
    </w:p>
    <w:tbl>
      <w:tblPr>
        <w:tblStyle w:val="15"/>
        <w:tblW w:w="5047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7456"/>
      </w:tblGrid>
      <w:tr w14:paraId="2AE74F4D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rPr>
          <w:jc w:val="center"/>
        </w:trPr>
        <w:tc>
          <w:tcPr>
            <w:tcW w:w="603" w:type="pct"/>
            <w:tcMar>
              <w:left w:w="0" w:type="dxa"/>
              <w:right w:w="0" w:type="dxa"/>
            </w:tcMar>
            <w:vAlign w:val="center"/>
          </w:tcPr>
          <w:p w14:paraId="3E48CD37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396" w:type="pct"/>
            <w:tcMar>
              <w:left w:w="90" w:type="dxa"/>
              <w:right w:w="90" w:type="dxa"/>
            </w:tcMar>
            <w:vAlign w:val="center"/>
          </w:tcPr>
          <w:p w14:paraId="09F58476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工业合成氨的适宜条件</w:t>
            </w:r>
          </w:p>
        </w:tc>
      </w:tr>
      <w:tr w14:paraId="7CA93841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pct"/>
            <w:tcMar>
              <w:left w:w="0" w:type="dxa"/>
              <w:right w:w="0" w:type="dxa"/>
            </w:tcMar>
            <w:vAlign w:val="center"/>
          </w:tcPr>
          <w:p w14:paraId="06DA0BCD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压强</w:t>
            </w:r>
          </w:p>
        </w:tc>
        <w:tc>
          <w:tcPr>
            <w:tcW w:w="4396" w:type="pct"/>
            <w:tcMar>
              <w:left w:w="90" w:type="dxa"/>
              <w:right w:w="90" w:type="dxa"/>
            </w:tcMar>
            <w:vAlign w:val="center"/>
          </w:tcPr>
          <w:p w14:paraId="76036E3E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10~30 MPa</w:t>
            </w:r>
          </w:p>
        </w:tc>
      </w:tr>
      <w:tr w14:paraId="793B1BF9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pct"/>
            <w:tcMar>
              <w:left w:w="0" w:type="dxa"/>
              <w:right w:w="0" w:type="dxa"/>
            </w:tcMar>
            <w:vAlign w:val="center"/>
          </w:tcPr>
          <w:p w14:paraId="02E02003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温度</w:t>
            </w:r>
          </w:p>
        </w:tc>
        <w:tc>
          <w:tcPr>
            <w:tcW w:w="4396" w:type="pct"/>
            <w:tcMar>
              <w:left w:w="90" w:type="dxa"/>
              <w:right w:w="90" w:type="dxa"/>
            </w:tcMar>
            <w:vAlign w:val="center"/>
          </w:tcPr>
          <w:p w14:paraId="6B38B315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400~500 ℃</w:t>
            </w:r>
          </w:p>
        </w:tc>
      </w:tr>
      <w:tr w14:paraId="25924C69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pct"/>
            <w:tcMar>
              <w:left w:w="0" w:type="dxa"/>
              <w:right w:w="0" w:type="dxa"/>
            </w:tcMar>
            <w:vAlign w:val="center"/>
          </w:tcPr>
          <w:p w14:paraId="6BAD0D3A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催化剂</w:t>
            </w:r>
          </w:p>
        </w:tc>
        <w:tc>
          <w:tcPr>
            <w:tcW w:w="4396" w:type="pct"/>
            <w:tcMar>
              <w:left w:w="90" w:type="dxa"/>
              <w:right w:w="90" w:type="dxa"/>
            </w:tcMar>
            <w:vAlign w:val="center"/>
          </w:tcPr>
          <w:p w14:paraId="68E147F4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铁触媒</w:t>
            </w:r>
          </w:p>
        </w:tc>
      </w:tr>
      <w:tr w14:paraId="15693D20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pct"/>
            <w:tcMar>
              <w:left w:w="0" w:type="dxa"/>
              <w:right w:w="0" w:type="dxa"/>
            </w:tcMar>
            <w:vAlign w:val="center"/>
          </w:tcPr>
          <w:p w14:paraId="788A19C7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浓度</w:t>
            </w:r>
          </w:p>
        </w:tc>
        <w:tc>
          <w:tcPr>
            <w:tcW w:w="4396" w:type="pct"/>
            <w:tcMar>
              <w:left w:w="90" w:type="dxa"/>
              <w:right w:w="90" w:type="dxa"/>
            </w:tcMar>
            <w:vAlign w:val="center"/>
          </w:tcPr>
          <w:p w14:paraId="650BEBFD">
            <w:pPr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N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和H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的物质的量之比为1</w:t>
            </w:r>
            <w:r>
              <w:rPr>
                <w:rFonts w:ascii="Cambria Math" w:hAnsi="Cambria Math" w:eastAsia="宋体" w:cs="Cambria Math"/>
                <w:szCs w:val="21"/>
              </w:rPr>
              <w:t>∶</w:t>
            </w:r>
            <w:r>
              <w:rPr>
                <w:rFonts w:ascii="Times New Roman" w:hAnsi="Times New Roman" w:eastAsia="宋体" w:cs="Times New Roman"/>
                <w:szCs w:val="21"/>
              </w:rPr>
              <w:t>2.8的投料比,氨及时从混合气中分离出去</w:t>
            </w:r>
          </w:p>
        </w:tc>
      </w:tr>
    </w:tbl>
    <w:p w14:paraId="015AC3E7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.调控化学反应需考虑的问题</w:t>
      </w:r>
    </w:p>
    <w:p w14:paraId="121A2F24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（1）影响化学反应进行的因素：参加反应的物质的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组成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结构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性质</w:t>
      </w:r>
      <w:r>
        <w:rPr>
          <w:rFonts w:ascii="Times New Roman" w:hAnsi="Times New Roman" w:eastAsia="宋体" w:cs="Times New Roman"/>
          <w:szCs w:val="21"/>
        </w:rPr>
        <w:t>等本身因素;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温度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压强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浓度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催化剂</w:t>
      </w:r>
      <w:r>
        <w:rPr>
          <w:rFonts w:ascii="Times New Roman" w:hAnsi="Times New Roman" w:eastAsia="宋体" w:cs="Times New Roman"/>
          <w:szCs w:val="21"/>
        </w:rPr>
        <w:t>等外界条件。 </w:t>
      </w:r>
    </w:p>
    <w:p w14:paraId="118F30BA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（2）化学反应的调控</w:t>
      </w:r>
    </w:p>
    <w:p w14:paraId="3D4D1AD6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含义:通过改变外界条件使一个可能发生的反应按照某一方向进行。</w:t>
      </w:r>
    </w:p>
    <w:p w14:paraId="520B5BF8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考虑因素:考虑设备条件、安全操作、经济成本等;分析影响化学反应速率和化学平衡的因素,寻找合适的生产条件;根据环境保护及社会效益等方面的规定和要求。</w:t>
      </w:r>
    </w:p>
    <w:p w14:paraId="18D4218C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a.反应限度:要考虑尽量增大反应物的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转化率</w:t>
      </w:r>
      <w:r>
        <w:rPr>
          <w:rFonts w:ascii="Times New Roman" w:hAnsi="Times New Roman" w:eastAsia="宋体" w:cs="Times New Roman"/>
          <w:szCs w:val="21"/>
        </w:rPr>
        <w:t>,充分利用原料。 </w:t>
      </w:r>
    </w:p>
    <w:p w14:paraId="1D17B348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b.反应速率:要选择较快的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反应速率</w:t>
      </w:r>
      <w:r>
        <w:rPr>
          <w:rFonts w:ascii="Times New Roman" w:hAnsi="Times New Roman" w:eastAsia="宋体" w:cs="Times New Roman"/>
          <w:szCs w:val="21"/>
        </w:rPr>
        <w:t>,提高单位时间内的产量。 </w:t>
      </w:r>
    </w:p>
    <w:p w14:paraId="31458635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c.生产要求:要考虑设备的要求和技术条件。</w:t>
      </w:r>
    </w:p>
    <w:p w14:paraId="533A69CF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02F9F9C7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(1)在反应N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005" name="图片 1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" name="图片 100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(g)中,3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)=2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(NH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)。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4AEFF706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(2)合成氨反应中,5 s末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(N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)=0.5 mol·L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·s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时,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(NH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)=1 mol·L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·s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72E46FB4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(3)合成氨反应在高温下能自发进行。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409E4B05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(4)已达平衡的反应N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006" name="图片 1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" name="图片 100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(g),当增大N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的浓度时,平衡向正反应方向移动,N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的转化率一定升高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3B0D7C2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(5)铁作催化剂可加快反应速率,且有利于化学平衡向合成氨的方向移动。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DADBA18">
      <w:pPr>
        <w:rPr>
          <w:rFonts w:hint="eastAsia" w:ascii="Times New Roman" w:hAnsi="Times New Roman" w:eastAsia="宋体" w:cs="Times New Roman"/>
          <w:b/>
          <w:bCs/>
          <w:sz w:val="2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2CA1B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5DD74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2AA9CF33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FB02B6"/>
    <w:rsid w:val="00082729"/>
    <w:rsid w:val="00155F19"/>
    <w:rsid w:val="001707AF"/>
    <w:rsid w:val="005A6296"/>
    <w:rsid w:val="006A72E8"/>
    <w:rsid w:val="007E24E9"/>
    <w:rsid w:val="00863E7F"/>
    <w:rsid w:val="00947136"/>
    <w:rsid w:val="00A65F3E"/>
    <w:rsid w:val="00CD7A38"/>
    <w:rsid w:val="00FB02B6"/>
    <w:rsid w:val="4F5C0E76"/>
    <w:rsid w:val="5D3A5AB1"/>
    <w:rsid w:val="768C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635</Words>
  <Characters>790</Characters>
  <Lines>22</Lines>
  <Paragraphs>30</Paragraphs>
  <TotalTime>0</TotalTime>
  <ScaleCrop>false</ScaleCrop>
  <LinksUpToDate>false</LinksUpToDate>
  <CharactersWithSpaces>818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2025-04-02T02:06:00Z</dcterms:created>
  <dc:creator>8618080071290</dc:creator>
  <cp:lastModifiedBy>刘岩</cp:lastModifiedBy>
  <dcterms:modified xsi:type="dcterms:W3CDTF">2026-03-18T09:41:15Z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AAB0B2EC43674ECFA37830840FD1E688_12</vt:lpwstr>
  </property>
</Properties>
</file>